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hd w:val="clear" w:color="auto" w:fill="FFFFFF"/>
        <w:spacing w:before="0" w:beforeAutospacing="0" w:after="0" w:afterAutospacing="0" w:line="315" w:lineRule="atLeast"/>
        <w:jc w:val="center"/>
        <w:rPr>
          <w:rFonts w:ascii="仿宋" w:hAnsi="仿宋" w:eastAsia="仿宋"/>
          <w:b/>
          <w:color w:val="333333"/>
          <w:sz w:val="22"/>
          <w:szCs w:val="21"/>
        </w:rPr>
      </w:pPr>
      <w:bookmarkStart w:id="0" w:name="_GoBack"/>
      <w:bookmarkEnd w:id="0"/>
      <w:r>
        <w:rPr>
          <w:rFonts w:hint="eastAsia" w:ascii="仿宋" w:hAnsi="仿宋" w:eastAsia="仿宋"/>
          <w:b/>
          <w:color w:val="333333"/>
          <w:sz w:val="28"/>
          <w:szCs w:val="27"/>
        </w:rPr>
        <w:t>关于落实东南大学本科课程教学六环节质量要求与检查、监控措施的通知</w:t>
      </w:r>
    </w:p>
    <w:p>
      <w:pPr>
        <w:pStyle w:val="9"/>
        <w:shd w:val="clear" w:color="auto" w:fill="FFFFFF"/>
        <w:spacing w:before="156" w:beforeAutospacing="0" w:after="0" w:afterAutospacing="0" w:line="400" w:lineRule="atLeast"/>
        <w:rPr>
          <w:rFonts w:ascii="微软雅黑" w:hAnsi="微软雅黑" w:eastAsia="微软雅黑"/>
          <w:color w:val="333333"/>
          <w:sz w:val="21"/>
          <w:szCs w:val="21"/>
        </w:rPr>
      </w:pPr>
      <w:r>
        <w:rPr>
          <w:rFonts w:hint="eastAsia" w:ascii="仿宋_GB2312" w:hAnsi="微软雅黑" w:eastAsia="仿宋_GB2312"/>
          <w:color w:val="333333"/>
        </w:rPr>
        <w:t>各院、系、所，各直属单位：</w:t>
      </w:r>
    </w:p>
    <w:p>
      <w:pPr>
        <w:pStyle w:val="9"/>
        <w:shd w:val="clear" w:color="auto" w:fill="FFFFFF"/>
        <w:spacing w:before="156" w:beforeAutospacing="0" w:after="0" w:afterAutospacing="0" w:line="480" w:lineRule="atLeast"/>
        <w:ind w:firstLine="480"/>
        <w:rPr>
          <w:rFonts w:hint="eastAsia" w:ascii="微软雅黑" w:hAnsi="微软雅黑" w:eastAsia="微软雅黑"/>
          <w:color w:val="333333"/>
          <w:sz w:val="21"/>
          <w:szCs w:val="21"/>
        </w:rPr>
      </w:pPr>
      <w:r>
        <w:rPr>
          <w:rFonts w:hint="eastAsia" w:ascii="仿宋_GB2312" w:hAnsi="微软雅黑" w:eastAsia="仿宋_GB2312"/>
          <w:color w:val="333333"/>
        </w:rPr>
        <w:t>自学校发布校通知【2009】106号《关于进一步提高本科课程教学质量的实施意见》以来，我校的课程教学各相关环节更加规范，质量有了明显的提高。为了更好地实现研究型大学拔尖创新人才培养目标，特制定《东南大学课程教学六环节质量要求与检查、监控措施》，请各院（系）教学委员会、主管教学工作院长（系主任）、各课程负责人、学校和院（系）督导以及广大学生积极参与课程教学过程六环节的质量检查、评价与监控工作，并使之成为一项常态化的工作。学校将表彰和鼓励在课程教学六环节建设中积极发挥示范表率作用的优质课程，以全面促进我校本科课程教学质量的不断提升。</w:t>
      </w:r>
    </w:p>
    <w:p>
      <w:pPr>
        <w:pStyle w:val="9"/>
        <w:shd w:val="clear" w:color="auto" w:fill="FFFFFF"/>
        <w:spacing w:before="156" w:beforeAutospacing="0" w:after="0" w:afterAutospacing="0" w:line="480" w:lineRule="atLeast"/>
        <w:ind w:firstLine="480"/>
        <w:rPr>
          <w:rFonts w:hint="eastAsia" w:ascii="微软雅黑" w:hAnsi="微软雅黑" w:eastAsia="微软雅黑"/>
          <w:color w:val="333333"/>
          <w:sz w:val="21"/>
          <w:szCs w:val="21"/>
        </w:rPr>
      </w:pPr>
      <w:r>
        <w:rPr>
          <w:rFonts w:hint="eastAsia" w:ascii="仿宋_GB2312" w:hAnsi="微软雅黑" w:eastAsia="仿宋_GB2312"/>
          <w:color w:val="333333"/>
        </w:rPr>
        <w:t>为了使课程教学过程六环节的质量检查、评价与监控工作落到实处，希望各院（系）针对附件中的质量要求，积极采取措施，健全教学委员会制度、课程负责人制度、院（系）负责人与课程负责人听课制度、督导工作机制、教师培训与交流机制、学生评价与信息反馈机制等，进一步提高本科课程教学质量。</w:t>
      </w:r>
    </w:p>
    <w:p>
      <w:pPr>
        <w:pStyle w:val="9"/>
        <w:shd w:val="clear" w:color="auto" w:fill="FFFFFF"/>
        <w:spacing w:before="156" w:beforeAutospacing="0" w:after="0" w:afterAutospacing="0" w:line="480" w:lineRule="atLeast"/>
        <w:ind w:firstLine="5280"/>
        <w:rPr>
          <w:rFonts w:ascii="仿宋_GB2312" w:hAnsi="微软雅黑" w:eastAsia="仿宋_GB2312"/>
          <w:color w:val="333333"/>
        </w:rPr>
      </w:pPr>
      <w:r>
        <w:rPr>
          <w:rFonts w:hint="eastAsia" w:ascii="仿宋_GB2312" w:hAnsi="微软雅黑" w:eastAsia="仿宋_GB2312"/>
          <w:color w:val="333333"/>
        </w:rPr>
        <w:t>二</w:t>
      </w:r>
      <w:r>
        <w:rPr>
          <w:rFonts w:hint="eastAsia"/>
          <w:color w:val="333333"/>
        </w:rPr>
        <w:t>〇</w:t>
      </w:r>
      <w:r>
        <w:rPr>
          <w:rFonts w:hint="eastAsia" w:ascii="仿宋_GB2312" w:hAnsi="微软雅黑" w:eastAsia="仿宋_GB2312"/>
          <w:color w:val="333333"/>
        </w:rPr>
        <w:t>一</w:t>
      </w:r>
      <w:r>
        <w:rPr>
          <w:rFonts w:hint="eastAsia"/>
          <w:color w:val="333333"/>
        </w:rPr>
        <w:t>〇</w:t>
      </w:r>
      <w:r>
        <w:rPr>
          <w:rFonts w:hint="eastAsia" w:ascii="仿宋_GB2312" w:hAnsi="微软雅黑" w:eastAsia="仿宋_GB2312"/>
          <w:color w:val="333333"/>
        </w:rPr>
        <w:t>年十月十八日</w:t>
      </w:r>
    </w:p>
    <w:p>
      <w:pPr>
        <w:pStyle w:val="9"/>
        <w:shd w:val="clear" w:color="auto" w:fill="FFFFFF"/>
        <w:spacing w:before="156" w:beforeAutospacing="0" w:after="0" w:afterAutospacing="0" w:line="480" w:lineRule="atLeast"/>
        <w:ind w:firstLine="5280"/>
        <w:rPr>
          <w:rFonts w:ascii="微软雅黑" w:hAnsi="微软雅黑" w:eastAsia="微软雅黑"/>
          <w:color w:val="333333"/>
          <w:sz w:val="21"/>
          <w:szCs w:val="21"/>
        </w:rPr>
      </w:pPr>
    </w:p>
    <w:p>
      <w:pPr>
        <w:pStyle w:val="9"/>
        <w:shd w:val="clear" w:color="auto" w:fill="FFFFFF"/>
        <w:spacing w:before="156" w:beforeAutospacing="0" w:after="0" w:afterAutospacing="0" w:line="480" w:lineRule="atLeast"/>
        <w:ind w:firstLine="5280"/>
        <w:rPr>
          <w:rFonts w:hint="eastAsia" w:ascii="微软雅黑" w:hAnsi="微软雅黑" w:eastAsia="微软雅黑"/>
          <w:color w:val="333333"/>
          <w:sz w:val="21"/>
          <w:szCs w:val="21"/>
        </w:rPr>
        <w:sectPr>
          <w:pgSz w:w="11906" w:h="16838"/>
          <w:pgMar w:top="1440" w:right="1800" w:bottom="1440" w:left="1800" w:header="851" w:footer="992" w:gutter="0"/>
          <w:cols w:space="425" w:num="1"/>
          <w:docGrid w:type="lines" w:linePitch="312" w:charSpace="0"/>
        </w:sectPr>
      </w:pPr>
    </w:p>
    <w:p>
      <w:pPr>
        <w:spacing w:after="156" w:afterLines="50"/>
        <w:jc w:val="center"/>
        <w:rPr>
          <w:b/>
          <w:sz w:val="24"/>
        </w:rPr>
      </w:pPr>
      <w:r>
        <w:rPr>
          <w:rFonts w:hint="eastAsia"/>
          <w:b/>
          <w:sz w:val="24"/>
        </w:rPr>
        <w:t>附件：《东南大学课程教学六环节质量要求与检查、监控措施》</w:t>
      </w:r>
    </w:p>
    <w:tbl>
      <w:tblPr>
        <w:tblStyle w:val="8"/>
        <w:tblW w:w="13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986"/>
        <w:gridCol w:w="2841"/>
        <w:gridCol w:w="2694"/>
        <w:gridCol w:w="2976"/>
        <w:gridCol w:w="3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3" w:hRule="atLeast"/>
          <w:jc w:val="center"/>
        </w:trPr>
        <w:tc>
          <w:tcPr>
            <w:tcW w:w="1680" w:type="dxa"/>
            <w:gridSpan w:val="2"/>
            <w:tcBorders>
              <w:top w:val="single" w:color="auto" w:sz="12" w:space="0"/>
              <w:left w:val="single" w:color="auto" w:sz="12" w:space="0"/>
            </w:tcBorders>
            <w:shd w:val="clear" w:color="auto" w:fill="auto"/>
            <w:vAlign w:val="center"/>
          </w:tcPr>
          <w:p>
            <w:pPr>
              <w:jc w:val="center"/>
              <w:rPr>
                <w:b/>
                <w:kern w:val="0"/>
                <w:sz w:val="20"/>
              </w:rPr>
            </w:pPr>
            <w:r>
              <w:rPr>
                <w:rFonts w:hint="eastAsia"/>
                <w:b/>
                <w:kern w:val="0"/>
                <w:sz w:val="20"/>
              </w:rPr>
              <w:t>课程教学六环节</w:t>
            </w:r>
          </w:p>
        </w:tc>
        <w:tc>
          <w:tcPr>
            <w:tcW w:w="2841" w:type="dxa"/>
            <w:tcBorders>
              <w:top w:val="single" w:color="auto" w:sz="12" w:space="0"/>
            </w:tcBorders>
            <w:shd w:val="clear" w:color="auto" w:fill="auto"/>
            <w:vAlign w:val="center"/>
          </w:tcPr>
          <w:p>
            <w:pPr>
              <w:jc w:val="center"/>
              <w:rPr>
                <w:b/>
                <w:kern w:val="0"/>
                <w:sz w:val="20"/>
              </w:rPr>
            </w:pPr>
            <w:r>
              <w:rPr>
                <w:rFonts w:hint="eastAsia"/>
                <w:b/>
                <w:kern w:val="0"/>
                <w:sz w:val="20"/>
              </w:rPr>
              <w:t>质量要求</w:t>
            </w:r>
          </w:p>
        </w:tc>
        <w:tc>
          <w:tcPr>
            <w:tcW w:w="2694" w:type="dxa"/>
            <w:tcBorders>
              <w:top w:val="single" w:color="auto" w:sz="12" w:space="0"/>
            </w:tcBorders>
            <w:shd w:val="clear" w:color="auto" w:fill="auto"/>
            <w:vAlign w:val="center"/>
          </w:tcPr>
          <w:p>
            <w:pPr>
              <w:jc w:val="center"/>
              <w:rPr>
                <w:b/>
                <w:kern w:val="0"/>
                <w:sz w:val="20"/>
              </w:rPr>
            </w:pPr>
            <w:r>
              <w:rPr>
                <w:rFonts w:hint="eastAsia"/>
                <w:b/>
                <w:kern w:val="0"/>
                <w:sz w:val="20"/>
              </w:rPr>
              <w:t>检查与督促</w:t>
            </w:r>
          </w:p>
        </w:tc>
        <w:tc>
          <w:tcPr>
            <w:tcW w:w="2976" w:type="dxa"/>
            <w:tcBorders>
              <w:top w:val="single" w:color="auto" w:sz="12" w:space="0"/>
            </w:tcBorders>
            <w:shd w:val="clear" w:color="auto" w:fill="auto"/>
            <w:vAlign w:val="center"/>
          </w:tcPr>
          <w:p>
            <w:pPr>
              <w:jc w:val="center"/>
              <w:rPr>
                <w:b/>
                <w:kern w:val="0"/>
                <w:sz w:val="20"/>
              </w:rPr>
            </w:pPr>
            <w:r>
              <w:rPr>
                <w:rFonts w:hint="eastAsia"/>
                <w:b/>
                <w:kern w:val="0"/>
                <w:sz w:val="20"/>
              </w:rPr>
              <w:t>示范与交流</w:t>
            </w:r>
          </w:p>
        </w:tc>
        <w:tc>
          <w:tcPr>
            <w:tcW w:w="3023" w:type="dxa"/>
            <w:tcBorders>
              <w:top w:val="single" w:color="auto" w:sz="12" w:space="0"/>
              <w:right w:val="single" w:color="auto" w:sz="12" w:space="0"/>
            </w:tcBorders>
            <w:shd w:val="clear" w:color="auto" w:fill="auto"/>
            <w:vAlign w:val="center"/>
          </w:tcPr>
          <w:p>
            <w:pPr>
              <w:jc w:val="center"/>
              <w:rPr>
                <w:b/>
                <w:kern w:val="0"/>
                <w:sz w:val="20"/>
              </w:rPr>
            </w:pPr>
            <w:r>
              <w:rPr>
                <w:rFonts w:hint="eastAsia"/>
                <w:b/>
                <w:kern w:val="0"/>
                <w:sz w:val="20"/>
              </w:rPr>
              <w:t>校、院（系）督导与学生评教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4" w:type="dxa"/>
            <w:tcBorders>
              <w:left w:val="single" w:color="auto" w:sz="12" w:space="0"/>
              <w:bottom w:val="single" w:color="auto" w:sz="4" w:space="0"/>
            </w:tcBorders>
            <w:shd w:val="clear" w:color="auto" w:fill="auto"/>
            <w:vAlign w:val="center"/>
          </w:tcPr>
          <w:p>
            <w:pPr>
              <w:jc w:val="center"/>
              <w:rPr>
                <w:rFonts w:ascii="黑体" w:eastAsia="黑体"/>
                <w:b/>
                <w:kern w:val="0"/>
                <w:sz w:val="20"/>
              </w:rPr>
            </w:pPr>
            <w:r>
              <w:rPr>
                <w:rFonts w:hint="eastAsia" w:ascii="黑体" w:eastAsia="黑体"/>
                <w:b/>
                <w:kern w:val="0"/>
                <w:sz w:val="20"/>
              </w:rPr>
              <w:t>一</w:t>
            </w:r>
          </w:p>
        </w:tc>
        <w:tc>
          <w:tcPr>
            <w:tcW w:w="986" w:type="dxa"/>
            <w:tcBorders>
              <w:bottom w:val="single" w:color="auto" w:sz="4" w:space="0"/>
            </w:tcBorders>
            <w:shd w:val="clear" w:color="auto" w:fill="auto"/>
            <w:vAlign w:val="center"/>
          </w:tcPr>
          <w:p>
            <w:pPr>
              <w:jc w:val="center"/>
              <w:rPr>
                <w:b/>
                <w:kern w:val="0"/>
                <w:sz w:val="20"/>
              </w:rPr>
            </w:pPr>
            <w:r>
              <w:rPr>
                <w:rFonts w:hint="eastAsia"/>
                <w:b/>
                <w:kern w:val="0"/>
                <w:sz w:val="20"/>
              </w:rPr>
              <w:t>备 课</w:t>
            </w:r>
          </w:p>
        </w:tc>
        <w:tc>
          <w:tcPr>
            <w:tcW w:w="2841" w:type="dxa"/>
            <w:tcBorders>
              <w:bottom w:val="single" w:color="auto" w:sz="4" w:space="0"/>
            </w:tcBorders>
            <w:shd w:val="clear" w:color="auto" w:fill="auto"/>
          </w:tcPr>
          <w:p>
            <w:pPr>
              <w:rPr>
                <w:kern w:val="0"/>
                <w:sz w:val="18"/>
                <w:szCs w:val="18"/>
              </w:rPr>
            </w:pPr>
            <w:r>
              <w:rPr>
                <w:rFonts w:hint="eastAsia"/>
                <w:kern w:val="0"/>
                <w:sz w:val="18"/>
                <w:szCs w:val="18"/>
              </w:rPr>
              <w:t>1、以课程教学大纲、教材和教学参考书为依据，认真备课。</w:t>
            </w:r>
          </w:p>
          <w:p>
            <w:pPr>
              <w:rPr>
                <w:kern w:val="0"/>
                <w:sz w:val="18"/>
                <w:szCs w:val="18"/>
              </w:rPr>
            </w:pPr>
            <w:r>
              <w:rPr>
                <w:rFonts w:hint="eastAsia"/>
                <w:kern w:val="0"/>
                <w:sz w:val="18"/>
                <w:szCs w:val="18"/>
              </w:rPr>
              <w:t>2、备课要注重本课程的科学性与系统性；重点和难点，要设置与学生探究交流的知识点。</w:t>
            </w:r>
          </w:p>
          <w:p>
            <w:pPr>
              <w:rPr>
                <w:kern w:val="0"/>
                <w:sz w:val="18"/>
                <w:szCs w:val="18"/>
              </w:rPr>
            </w:pPr>
            <w:r>
              <w:rPr>
                <w:rFonts w:hint="eastAsia"/>
                <w:kern w:val="0"/>
                <w:sz w:val="18"/>
                <w:szCs w:val="18"/>
              </w:rPr>
              <w:t>3、备课笔记或讲课用PPT思路清晰，文图清楚。</w:t>
            </w:r>
          </w:p>
        </w:tc>
        <w:tc>
          <w:tcPr>
            <w:tcW w:w="2694" w:type="dxa"/>
            <w:tcBorders>
              <w:bottom w:val="single" w:color="auto" w:sz="4" w:space="0"/>
            </w:tcBorders>
            <w:shd w:val="clear" w:color="auto" w:fill="auto"/>
          </w:tcPr>
          <w:p>
            <w:pPr>
              <w:rPr>
                <w:rFonts w:ascii="宋体" w:hAnsi="宋体"/>
                <w:kern w:val="0"/>
                <w:sz w:val="18"/>
                <w:szCs w:val="18"/>
              </w:rPr>
            </w:pPr>
            <w:r>
              <w:rPr>
                <w:rFonts w:hint="eastAsia"/>
                <w:kern w:val="0"/>
                <w:sz w:val="18"/>
                <w:szCs w:val="18"/>
              </w:rPr>
              <w:t>1、教学院长召集本院本学期课程负责人会议，要求各课程提供</w:t>
            </w:r>
            <w:r>
              <w:rPr>
                <w:rFonts w:hint="eastAsia" w:ascii="宋体" w:hAnsi="宋体"/>
                <w:kern w:val="0"/>
                <w:sz w:val="18"/>
                <w:szCs w:val="18"/>
              </w:rPr>
              <w:t>①课程教学大纲②教学日历③教材名和参考书名（5册以上）。</w:t>
            </w:r>
          </w:p>
          <w:p>
            <w:pPr>
              <w:rPr>
                <w:rFonts w:ascii="宋体" w:hAnsi="宋体"/>
                <w:kern w:val="0"/>
                <w:sz w:val="18"/>
                <w:szCs w:val="18"/>
              </w:rPr>
            </w:pPr>
            <w:r>
              <w:rPr>
                <w:rFonts w:hint="eastAsia" w:ascii="宋体" w:hAnsi="宋体"/>
                <w:kern w:val="0"/>
                <w:sz w:val="18"/>
                <w:szCs w:val="18"/>
              </w:rPr>
              <w:t>2、课程负责人检查和指导课程组教师备课情况，对不符合要求的提交教学院长谈话。</w:t>
            </w:r>
          </w:p>
        </w:tc>
        <w:tc>
          <w:tcPr>
            <w:tcW w:w="2976" w:type="dxa"/>
            <w:tcBorders>
              <w:bottom w:val="single" w:color="auto" w:sz="4" w:space="0"/>
            </w:tcBorders>
            <w:shd w:val="clear" w:color="auto" w:fill="auto"/>
          </w:tcPr>
          <w:p>
            <w:pPr>
              <w:rPr>
                <w:kern w:val="0"/>
                <w:sz w:val="18"/>
                <w:szCs w:val="18"/>
              </w:rPr>
            </w:pPr>
            <w:r>
              <w:rPr>
                <w:rFonts w:hint="eastAsia"/>
                <w:kern w:val="0"/>
                <w:sz w:val="18"/>
                <w:szCs w:val="18"/>
              </w:rPr>
              <w:t>1、学院组织课程组内部及课程组之间的备课笔记或PPT交流，对备课质量好的课程给予表扬和奖励。</w:t>
            </w:r>
          </w:p>
          <w:p>
            <w:pPr>
              <w:rPr>
                <w:kern w:val="0"/>
                <w:sz w:val="18"/>
                <w:szCs w:val="18"/>
              </w:rPr>
            </w:pPr>
            <w:r>
              <w:rPr>
                <w:rFonts w:hint="eastAsia"/>
                <w:kern w:val="0"/>
                <w:sz w:val="18"/>
                <w:szCs w:val="18"/>
              </w:rPr>
              <w:t>2、请教学水平高的教授给学院的年青教师做“怎样备好一堂课”的讲座。</w:t>
            </w:r>
          </w:p>
          <w:p>
            <w:pPr>
              <w:rPr>
                <w:kern w:val="0"/>
                <w:sz w:val="18"/>
                <w:szCs w:val="18"/>
              </w:rPr>
            </w:pPr>
            <w:r>
              <w:rPr>
                <w:rFonts w:hint="eastAsia"/>
                <w:kern w:val="0"/>
                <w:sz w:val="18"/>
                <w:szCs w:val="18"/>
              </w:rPr>
              <w:t>3、鼓励集体备课。</w:t>
            </w:r>
          </w:p>
        </w:tc>
        <w:tc>
          <w:tcPr>
            <w:tcW w:w="3023" w:type="dxa"/>
            <w:tcBorders>
              <w:bottom w:val="single" w:color="auto" w:sz="4" w:space="0"/>
              <w:right w:val="single" w:color="auto" w:sz="12" w:space="0"/>
            </w:tcBorders>
            <w:shd w:val="clear" w:color="auto" w:fill="auto"/>
          </w:tcPr>
          <w:p>
            <w:pPr>
              <w:rPr>
                <w:kern w:val="0"/>
                <w:sz w:val="18"/>
                <w:szCs w:val="18"/>
              </w:rPr>
            </w:pPr>
            <w:r>
              <w:rPr>
                <w:rFonts w:hint="eastAsia"/>
                <w:kern w:val="0"/>
                <w:sz w:val="18"/>
                <w:szCs w:val="18"/>
              </w:rPr>
              <w:t>1、校、院（系）督导通过听课，一般可以判断教师备课的质量。</w:t>
            </w:r>
          </w:p>
          <w:p>
            <w:pPr>
              <w:rPr>
                <w:kern w:val="0"/>
                <w:sz w:val="18"/>
                <w:szCs w:val="18"/>
              </w:rPr>
            </w:pPr>
            <w:r>
              <w:rPr>
                <w:rFonts w:hint="eastAsia"/>
                <w:kern w:val="0"/>
                <w:sz w:val="18"/>
                <w:szCs w:val="18"/>
              </w:rPr>
              <w:t>2、请校、院（系）督导对尚需课前进行充分准备的教师，提出改进意见并进行指导。</w:t>
            </w:r>
          </w:p>
          <w:p>
            <w:pPr>
              <w:rPr>
                <w:rFonts w:hint="eastAsia"/>
                <w:kern w:val="0"/>
                <w:sz w:val="18"/>
                <w:szCs w:val="18"/>
              </w:rPr>
            </w:pPr>
            <w:r>
              <w:rPr>
                <w:rFonts w:hint="eastAsia"/>
                <w:kern w:val="0"/>
                <w:sz w:val="18"/>
                <w:szCs w:val="18"/>
              </w:rPr>
              <w:t>3、希望学生对备课不太认真的教师</w:t>
            </w:r>
            <w:r>
              <w:rPr>
                <w:rFonts w:hint="eastAsia"/>
                <w:b/>
                <w:kern w:val="0"/>
                <w:sz w:val="18"/>
                <w:szCs w:val="18"/>
              </w:rPr>
              <w:t>及时</w:t>
            </w:r>
            <w:r>
              <w:rPr>
                <w:rFonts w:hint="eastAsia"/>
                <w:kern w:val="0"/>
                <w:sz w:val="18"/>
                <w:szCs w:val="18"/>
              </w:rPr>
              <w:t>无记名反应（可书面）给教务处，或发邮件至jxjb@seu.edu.cn信箱。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6" w:hRule="atLeast"/>
          <w:jc w:val="center"/>
        </w:trPr>
        <w:tc>
          <w:tcPr>
            <w:tcW w:w="694" w:type="dxa"/>
            <w:tcBorders>
              <w:left w:val="single" w:color="auto" w:sz="12" w:space="0"/>
              <w:bottom w:val="single" w:color="auto" w:sz="2" w:space="0"/>
            </w:tcBorders>
            <w:shd w:val="clear" w:color="auto" w:fill="auto"/>
            <w:vAlign w:val="center"/>
          </w:tcPr>
          <w:p>
            <w:pPr>
              <w:jc w:val="center"/>
              <w:rPr>
                <w:rFonts w:ascii="黑体" w:eastAsia="黑体"/>
                <w:b/>
                <w:kern w:val="0"/>
                <w:sz w:val="20"/>
              </w:rPr>
            </w:pPr>
            <w:r>
              <w:rPr>
                <w:rFonts w:hint="eastAsia" w:ascii="黑体" w:eastAsia="黑体"/>
                <w:b/>
                <w:kern w:val="0"/>
                <w:sz w:val="20"/>
              </w:rPr>
              <w:t>二</w:t>
            </w:r>
          </w:p>
          <w:p>
            <w:pPr>
              <w:jc w:val="center"/>
              <w:rPr>
                <w:rFonts w:ascii="黑体" w:eastAsia="黑体"/>
                <w:kern w:val="0"/>
                <w:sz w:val="20"/>
              </w:rPr>
            </w:pPr>
          </w:p>
        </w:tc>
        <w:tc>
          <w:tcPr>
            <w:tcW w:w="986" w:type="dxa"/>
            <w:tcBorders>
              <w:bottom w:val="single" w:color="auto" w:sz="2" w:space="0"/>
            </w:tcBorders>
            <w:shd w:val="clear" w:color="auto" w:fill="auto"/>
            <w:vAlign w:val="center"/>
          </w:tcPr>
          <w:p>
            <w:pPr>
              <w:jc w:val="center"/>
              <w:rPr>
                <w:b/>
                <w:kern w:val="0"/>
                <w:sz w:val="20"/>
              </w:rPr>
            </w:pPr>
            <w:r>
              <w:rPr>
                <w:rFonts w:hint="eastAsia"/>
                <w:b/>
                <w:kern w:val="0"/>
                <w:sz w:val="20"/>
              </w:rPr>
              <w:t>讲 授</w:t>
            </w:r>
          </w:p>
        </w:tc>
        <w:tc>
          <w:tcPr>
            <w:tcW w:w="2841" w:type="dxa"/>
            <w:tcBorders>
              <w:bottom w:val="single" w:color="auto" w:sz="2" w:space="0"/>
            </w:tcBorders>
            <w:shd w:val="clear" w:color="auto" w:fill="auto"/>
          </w:tcPr>
          <w:p>
            <w:pPr>
              <w:rPr>
                <w:kern w:val="0"/>
                <w:sz w:val="18"/>
                <w:szCs w:val="18"/>
              </w:rPr>
            </w:pPr>
            <w:r>
              <w:rPr>
                <w:rFonts w:hint="eastAsia"/>
                <w:kern w:val="0"/>
                <w:sz w:val="18"/>
                <w:szCs w:val="18"/>
              </w:rPr>
              <w:t>1、教师在讲台上，本身的素养和自信，会给学生力量及灵感。</w:t>
            </w:r>
          </w:p>
          <w:p>
            <w:pPr>
              <w:rPr>
                <w:kern w:val="0"/>
                <w:sz w:val="18"/>
                <w:szCs w:val="18"/>
              </w:rPr>
            </w:pPr>
            <w:r>
              <w:rPr>
                <w:rFonts w:hint="eastAsia"/>
                <w:kern w:val="0"/>
                <w:sz w:val="18"/>
                <w:szCs w:val="18"/>
              </w:rPr>
              <w:t>2、语言简练、有抑扬顿挫，除重点、难点外，一般语言不重复。</w:t>
            </w:r>
          </w:p>
          <w:p>
            <w:pPr>
              <w:rPr>
                <w:kern w:val="0"/>
                <w:sz w:val="18"/>
                <w:szCs w:val="18"/>
              </w:rPr>
            </w:pPr>
            <w:r>
              <w:rPr>
                <w:rFonts w:hint="eastAsia"/>
                <w:kern w:val="0"/>
                <w:sz w:val="18"/>
                <w:szCs w:val="18"/>
              </w:rPr>
              <w:t>3、对于关键知识点，要体现如“画龙点睛”之效果，使学生印象深刻。</w:t>
            </w:r>
          </w:p>
          <w:p>
            <w:pPr>
              <w:rPr>
                <w:kern w:val="0"/>
                <w:sz w:val="18"/>
                <w:szCs w:val="18"/>
              </w:rPr>
            </w:pPr>
            <w:r>
              <w:rPr>
                <w:rFonts w:hint="eastAsia"/>
                <w:kern w:val="0"/>
                <w:sz w:val="18"/>
                <w:szCs w:val="18"/>
              </w:rPr>
              <w:t>4、启发学生思维，和学生产生自然的探究与交流，而不是生硬提出很简单的问题。</w:t>
            </w:r>
          </w:p>
        </w:tc>
        <w:tc>
          <w:tcPr>
            <w:tcW w:w="2694" w:type="dxa"/>
            <w:tcBorders>
              <w:bottom w:val="single" w:color="auto" w:sz="2" w:space="0"/>
            </w:tcBorders>
            <w:shd w:val="clear" w:color="auto" w:fill="auto"/>
          </w:tcPr>
          <w:p>
            <w:pPr>
              <w:rPr>
                <w:kern w:val="0"/>
                <w:sz w:val="18"/>
                <w:szCs w:val="18"/>
              </w:rPr>
            </w:pPr>
            <w:r>
              <w:rPr>
                <w:rFonts w:hint="eastAsia"/>
                <w:kern w:val="0"/>
                <w:sz w:val="18"/>
                <w:szCs w:val="18"/>
              </w:rPr>
              <w:t>1、院系领导和教学委员会成员分工听每位上课教师的课（对每学期学生评教，处于学院前30％的可以免听）。</w:t>
            </w:r>
          </w:p>
          <w:p>
            <w:pPr>
              <w:rPr>
                <w:rFonts w:hint="eastAsia"/>
                <w:kern w:val="0"/>
                <w:sz w:val="18"/>
                <w:szCs w:val="18"/>
              </w:rPr>
            </w:pPr>
            <w:r>
              <w:rPr>
                <w:rFonts w:hint="eastAsia"/>
                <w:kern w:val="0"/>
                <w:sz w:val="18"/>
                <w:szCs w:val="18"/>
              </w:rPr>
              <w:t>2、请教学院长和课程负责人重点帮助和指导学生反映教学态度或教学效果存在问题的教师，改进教学态度和提高讲课水平。</w:t>
            </w:r>
          </w:p>
        </w:tc>
        <w:tc>
          <w:tcPr>
            <w:tcW w:w="2976" w:type="dxa"/>
            <w:tcBorders>
              <w:bottom w:val="single" w:color="auto" w:sz="2" w:space="0"/>
            </w:tcBorders>
            <w:shd w:val="clear" w:color="auto" w:fill="auto"/>
          </w:tcPr>
          <w:p>
            <w:pPr>
              <w:rPr>
                <w:kern w:val="0"/>
                <w:sz w:val="18"/>
                <w:szCs w:val="18"/>
              </w:rPr>
            </w:pPr>
            <w:r>
              <w:rPr>
                <w:rFonts w:hint="eastAsia"/>
                <w:kern w:val="0"/>
                <w:sz w:val="18"/>
                <w:szCs w:val="18"/>
              </w:rPr>
              <w:t>1、首次开课教师必须观摩教学水平高的教师讲课，并要求写心得体会和自身提高教学水平的措施。</w:t>
            </w:r>
          </w:p>
          <w:p>
            <w:pPr>
              <w:rPr>
                <w:kern w:val="0"/>
                <w:sz w:val="20"/>
              </w:rPr>
            </w:pPr>
            <w:r>
              <w:rPr>
                <w:rFonts w:hint="eastAsia"/>
                <w:kern w:val="0"/>
                <w:sz w:val="20"/>
              </w:rPr>
              <w:t>2、</w:t>
            </w:r>
            <w:r>
              <w:rPr>
                <w:rFonts w:hint="eastAsia"/>
                <w:kern w:val="0"/>
                <w:sz w:val="18"/>
                <w:szCs w:val="18"/>
              </w:rPr>
              <w:t>教学院长召集本院教学广受学生欢迎的教师（包括授课竞赛一、二等奖的教师）在学院教学工作会议上介绍成长的体会，启发和促进年青教师授课质量的提高。</w:t>
            </w:r>
          </w:p>
        </w:tc>
        <w:tc>
          <w:tcPr>
            <w:tcW w:w="3023" w:type="dxa"/>
            <w:tcBorders>
              <w:bottom w:val="single" w:color="auto" w:sz="2" w:space="0"/>
              <w:right w:val="single" w:color="auto" w:sz="12" w:space="0"/>
            </w:tcBorders>
            <w:shd w:val="clear" w:color="auto" w:fill="auto"/>
          </w:tcPr>
          <w:p>
            <w:pPr>
              <w:rPr>
                <w:kern w:val="0"/>
                <w:sz w:val="20"/>
              </w:rPr>
            </w:pPr>
            <w:r>
              <w:rPr>
                <w:rFonts w:hint="eastAsia"/>
                <w:kern w:val="0"/>
                <w:sz w:val="18"/>
                <w:szCs w:val="18"/>
              </w:rPr>
              <w:t>1、请校、院（系）督导重点帮助和指导学生反映教学态度或教学效果存在问题的教师，使其认识到存在问题的关键，找到解决问题、提高讲课水平的途经。</w:t>
            </w:r>
          </w:p>
          <w:p>
            <w:pPr>
              <w:rPr>
                <w:kern w:val="0"/>
                <w:sz w:val="18"/>
                <w:szCs w:val="18"/>
              </w:rPr>
            </w:pPr>
            <w:r>
              <w:rPr>
                <w:rFonts w:hint="eastAsia"/>
                <w:kern w:val="0"/>
                <w:sz w:val="18"/>
                <w:szCs w:val="18"/>
              </w:rPr>
              <w:t>2、希望学生对授课质量存在问题的教师</w:t>
            </w:r>
            <w:r>
              <w:rPr>
                <w:rFonts w:hint="eastAsia"/>
                <w:b/>
                <w:kern w:val="0"/>
                <w:sz w:val="18"/>
                <w:szCs w:val="18"/>
              </w:rPr>
              <w:t>及时</w:t>
            </w:r>
            <w:r>
              <w:rPr>
                <w:rFonts w:hint="eastAsia"/>
                <w:kern w:val="0"/>
                <w:sz w:val="18"/>
                <w:szCs w:val="18"/>
              </w:rPr>
              <w:t>无记名反应（可书面）给教务处，或发邮件至jxjb@seu.edu.cn信箱。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jc w:val="center"/>
        </w:trPr>
        <w:tc>
          <w:tcPr>
            <w:tcW w:w="694" w:type="dxa"/>
            <w:tcBorders>
              <w:top w:val="single" w:color="auto" w:sz="2" w:space="0"/>
              <w:left w:val="single" w:color="auto" w:sz="12" w:space="0"/>
              <w:bottom w:val="single" w:color="auto" w:sz="12" w:space="0"/>
              <w:right w:val="single" w:color="auto" w:sz="6" w:space="0"/>
            </w:tcBorders>
            <w:shd w:val="clear" w:color="auto" w:fill="auto"/>
            <w:vAlign w:val="center"/>
          </w:tcPr>
          <w:p>
            <w:pPr>
              <w:jc w:val="center"/>
              <w:rPr>
                <w:rFonts w:ascii="黑体" w:eastAsia="黑体"/>
                <w:b/>
                <w:kern w:val="0"/>
                <w:sz w:val="20"/>
              </w:rPr>
            </w:pPr>
            <w:r>
              <w:rPr>
                <w:rFonts w:hint="eastAsia" w:ascii="黑体" w:eastAsia="黑体"/>
                <w:b/>
                <w:kern w:val="0"/>
                <w:sz w:val="20"/>
              </w:rPr>
              <w:t>三</w:t>
            </w:r>
          </w:p>
        </w:tc>
        <w:tc>
          <w:tcPr>
            <w:tcW w:w="986" w:type="dxa"/>
            <w:tcBorders>
              <w:top w:val="single" w:color="auto" w:sz="2" w:space="0"/>
              <w:left w:val="single" w:color="auto" w:sz="6" w:space="0"/>
              <w:bottom w:val="single" w:color="auto" w:sz="12" w:space="0"/>
              <w:right w:val="single" w:color="auto" w:sz="6" w:space="0"/>
            </w:tcBorders>
            <w:shd w:val="clear" w:color="auto" w:fill="auto"/>
            <w:vAlign w:val="center"/>
          </w:tcPr>
          <w:p>
            <w:pPr>
              <w:jc w:val="center"/>
              <w:rPr>
                <w:b/>
                <w:kern w:val="0"/>
                <w:sz w:val="20"/>
              </w:rPr>
            </w:pPr>
            <w:r>
              <w:rPr>
                <w:rFonts w:hint="eastAsia"/>
                <w:b/>
                <w:kern w:val="0"/>
                <w:sz w:val="20"/>
              </w:rPr>
              <w:t>讨论</w:t>
            </w:r>
          </w:p>
        </w:tc>
        <w:tc>
          <w:tcPr>
            <w:tcW w:w="2841" w:type="dxa"/>
            <w:tcBorders>
              <w:top w:val="single" w:color="auto" w:sz="2" w:space="0"/>
              <w:left w:val="single" w:color="auto" w:sz="6" w:space="0"/>
              <w:bottom w:val="single" w:color="auto" w:sz="12" w:space="0"/>
              <w:right w:val="single" w:color="auto" w:sz="6" w:space="0"/>
            </w:tcBorders>
            <w:shd w:val="clear" w:color="auto" w:fill="auto"/>
          </w:tcPr>
          <w:p>
            <w:pPr>
              <w:rPr>
                <w:kern w:val="0"/>
                <w:sz w:val="18"/>
                <w:szCs w:val="18"/>
              </w:rPr>
            </w:pPr>
            <w:r>
              <w:rPr>
                <w:rFonts w:hint="eastAsia"/>
                <w:kern w:val="0"/>
                <w:sz w:val="18"/>
                <w:szCs w:val="18"/>
              </w:rPr>
              <w:t>1、主动加强师生课内外交流与探讨。</w:t>
            </w:r>
          </w:p>
          <w:p>
            <w:pPr>
              <w:rPr>
                <w:rFonts w:hint="eastAsia"/>
                <w:kern w:val="0"/>
                <w:sz w:val="18"/>
                <w:szCs w:val="18"/>
              </w:rPr>
            </w:pPr>
            <w:r>
              <w:rPr>
                <w:rFonts w:hint="eastAsia"/>
                <w:kern w:val="0"/>
                <w:sz w:val="18"/>
                <w:szCs w:val="18"/>
              </w:rPr>
              <w:t>2、鼓励学生逆向思维和求异思维，积极引导学生提出问题，鼓励学生个人或团队找出解决问题的途经，主讲教师给予积极引导。</w:t>
            </w:r>
          </w:p>
        </w:tc>
        <w:tc>
          <w:tcPr>
            <w:tcW w:w="2694" w:type="dxa"/>
            <w:tcBorders>
              <w:top w:val="single" w:color="auto" w:sz="2" w:space="0"/>
              <w:left w:val="single" w:color="auto" w:sz="6" w:space="0"/>
              <w:bottom w:val="single" w:color="auto" w:sz="12" w:space="0"/>
              <w:right w:val="single" w:color="auto" w:sz="6" w:space="0"/>
            </w:tcBorders>
            <w:shd w:val="clear" w:color="auto" w:fill="auto"/>
          </w:tcPr>
          <w:p>
            <w:pPr>
              <w:rPr>
                <w:rFonts w:hint="eastAsia"/>
                <w:kern w:val="0"/>
                <w:sz w:val="18"/>
                <w:szCs w:val="18"/>
              </w:rPr>
            </w:pPr>
            <w:r>
              <w:rPr>
                <w:rFonts w:hint="eastAsia"/>
                <w:kern w:val="0"/>
                <w:sz w:val="18"/>
                <w:szCs w:val="18"/>
              </w:rPr>
              <w:t>通过院系领导和教学委员会成员、课程负责人听课，发现课堂上缺乏师生研讨交流的情况，要及时进行指导，改善课堂气氛，提高课堂教学水平和质量。</w:t>
            </w:r>
          </w:p>
        </w:tc>
        <w:tc>
          <w:tcPr>
            <w:tcW w:w="2976" w:type="dxa"/>
            <w:tcBorders>
              <w:top w:val="single" w:color="auto" w:sz="2" w:space="0"/>
              <w:left w:val="single" w:color="auto" w:sz="6" w:space="0"/>
              <w:bottom w:val="single" w:color="auto" w:sz="12" w:space="0"/>
              <w:right w:val="single" w:color="auto" w:sz="6" w:space="0"/>
            </w:tcBorders>
            <w:shd w:val="clear" w:color="auto" w:fill="auto"/>
          </w:tcPr>
          <w:p>
            <w:pPr>
              <w:rPr>
                <w:kern w:val="0"/>
                <w:sz w:val="18"/>
                <w:szCs w:val="18"/>
              </w:rPr>
            </w:pPr>
            <w:r>
              <w:rPr>
                <w:rFonts w:hint="eastAsia"/>
                <w:kern w:val="0"/>
                <w:sz w:val="18"/>
                <w:szCs w:val="18"/>
              </w:rPr>
              <w:t>1、教务处和院系组织教师观摩高水平教师课堂教学。</w:t>
            </w:r>
          </w:p>
          <w:p>
            <w:pPr>
              <w:rPr>
                <w:kern w:val="0"/>
                <w:sz w:val="20"/>
              </w:rPr>
            </w:pPr>
            <w:r>
              <w:rPr>
                <w:rFonts w:hint="eastAsia"/>
                <w:kern w:val="0"/>
                <w:sz w:val="18"/>
                <w:szCs w:val="18"/>
              </w:rPr>
              <w:t>2、组织校内外教学名师做关于“研究型教学探索与实践”、“如何培养学生的创新能力”等讲座。</w:t>
            </w:r>
          </w:p>
        </w:tc>
        <w:tc>
          <w:tcPr>
            <w:tcW w:w="3023" w:type="dxa"/>
            <w:tcBorders>
              <w:top w:val="single" w:color="auto" w:sz="2" w:space="0"/>
              <w:left w:val="single" w:color="auto" w:sz="6" w:space="0"/>
              <w:bottom w:val="single" w:color="auto" w:sz="12" w:space="0"/>
              <w:right w:val="single" w:color="auto" w:sz="12" w:space="0"/>
            </w:tcBorders>
            <w:shd w:val="clear" w:color="auto" w:fill="auto"/>
          </w:tcPr>
          <w:p>
            <w:pPr>
              <w:rPr>
                <w:kern w:val="0"/>
                <w:sz w:val="18"/>
                <w:szCs w:val="18"/>
              </w:rPr>
            </w:pPr>
            <w:r>
              <w:rPr>
                <w:rFonts w:hint="eastAsia"/>
                <w:kern w:val="0"/>
                <w:sz w:val="18"/>
                <w:szCs w:val="18"/>
              </w:rPr>
              <w:t>1、请校、院（系）督导在听课中如发现课堂上缺乏师生交流的情况，要及时进行指导，督促教师提高课堂教学质量和水平。</w:t>
            </w:r>
          </w:p>
          <w:p>
            <w:pPr>
              <w:rPr>
                <w:rFonts w:hint="eastAsia"/>
                <w:kern w:val="0"/>
                <w:sz w:val="18"/>
                <w:szCs w:val="18"/>
              </w:rPr>
            </w:pPr>
            <w:r>
              <w:rPr>
                <w:rFonts w:hint="eastAsia"/>
                <w:kern w:val="0"/>
                <w:sz w:val="18"/>
                <w:szCs w:val="18"/>
              </w:rPr>
              <w:t>2、希望学生对课堂气氛沉闷的课程</w:t>
            </w:r>
            <w:r>
              <w:rPr>
                <w:rFonts w:hint="eastAsia"/>
                <w:b/>
                <w:kern w:val="0"/>
                <w:sz w:val="18"/>
                <w:szCs w:val="18"/>
              </w:rPr>
              <w:t>及时</w:t>
            </w:r>
            <w:r>
              <w:rPr>
                <w:rFonts w:hint="eastAsia"/>
                <w:kern w:val="0"/>
                <w:sz w:val="18"/>
                <w:szCs w:val="18"/>
              </w:rPr>
              <w:t>反应到院系或教务处，以便引起教师的重视。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5" w:hRule="atLeast"/>
          <w:jc w:val="center"/>
        </w:trPr>
        <w:tc>
          <w:tcPr>
            <w:tcW w:w="694" w:type="dxa"/>
            <w:tcBorders>
              <w:top w:val="single" w:color="auto" w:sz="12" w:space="0"/>
              <w:left w:val="single" w:color="auto" w:sz="12" w:space="0"/>
              <w:bottom w:val="single" w:color="auto" w:sz="6" w:space="0"/>
              <w:right w:val="single" w:color="auto" w:sz="6" w:space="0"/>
            </w:tcBorders>
            <w:shd w:val="clear" w:color="auto" w:fill="auto"/>
            <w:vAlign w:val="center"/>
          </w:tcPr>
          <w:p>
            <w:pPr>
              <w:jc w:val="center"/>
              <w:rPr>
                <w:rFonts w:ascii="黑体" w:eastAsia="黑体"/>
                <w:b/>
                <w:kern w:val="0"/>
                <w:sz w:val="20"/>
              </w:rPr>
            </w:pPr>
            <w:r>
              <w:rPr>
                <w:rFonts w:hint="eastAsia" w:ascii="黑体" w:eastAsia="黑体"/>
                <w:b/>
                <w:kern w:val="0"/>
                <w:sz w:val="20"/>
              </w:rPr>
              <w:t>四</w:t>
            </w:r>
          </w:p>
        </w:tc>
        <w:tc>
          <w:tcPr>
            <w:tcW w:w="986" w:type="dxa"/>
            <w:tcBorders>
              <w:top w:val="single" w:color="auto" w:sz="12" w:space="0"/>
              <w:left w:val="single" w:color="auto" w:sz="6" w:space="0"/>
              <w:bottom w:val="single" w:color="auto" w:sz="6" w:space="0"/>
              <w:right w:val="single" w:color="auto" w:sz="6" w:space="0"/>
            </w:tcBorders>
            <w:shd w:val="clear" w:color="auto" w:fill="auto"/>
            <w:vAlign w:val="center"/>
          </w:tcPr>
          <w:p>
            <w:pPr>
              <w:jc w:val="center"/>
              <w:rPr>
                <w:b/>
                <w:kern w:val="0"/>
                <w:sz w:val="20"/>
              </w:rPr>
            </w:pPr>
            <w:r>
              <w:rPr>
                <w:rFonts w:hint="eastAsia"/>
                <w:b/>
                <w:kern w:val="0"/>
                <w:sz w:val="20"/>
              </w:rPr>
              <w:t>答疑</w:t>
            </w:r>
          </w:p>
        </w:tc>
        <w:tc>
          <w:tcPr>
            <w:tcW w:w="2841" w:type="dxa"/>
            <w:tcBorders>
              <w:top w:val="single" w:color="auto" w:sz="12" w:space="0"/>
              <w:left w:val="single" w:color="auto" w:sz="6" w:space="0"/>
              <w:bottom w:val="single" w:color="auto" w:sz="6" w:space="0"/>
              <w:right w:val="single" w:color="auto" w:sz="6" w:space="0"/>
            </w:tcBorders>
            <w:shd w:val="clear" w:color="auto" w:fill="auto"/>
          </w:tcPr>
          <w:p>
            <w:pPr>
              <w:rPr>
                <w:kern w:val="0"/>
                <w:sz w:val="18"/>
                <w:szCs w:val="18"/>
              </w:rPr>
            </w:pPr>
            <w:r>
              <w:rPr>
                <w:rFonts w:hint="eastAsia"/>
                <w:kern w:val="0"/>
                <w:sz w:val="18"/>
                <w:szCs w:val="18"/>
              </w:rPr>
              <w:t>1、教师要根据课程的特点和要求，安排课后答疑环节，并将答疑时间、地点提前告知全体学生。</w:t>
            </w:r>
          </w:p>
          <w:p>
            <w:pPr>
              <w:rPr>
                <w:kern w:val="0"/>
                <w:sz w:val="18"/>
                <w:szCs w:val="18"/>
              </w:rPr>
            </w:pPr>
            <w:r>
              <w:rPr>
                <w:rFonts w:hint="eastAsia"/>
                <w:kern w:val="0"/>
                <w:sz w:val="18"/>
                <w:szCs w:val="18"/>
              </w:rPr>
              <w:t>2、主动建设课程网站，提供学生与教师交流的广阔平台，要求网站除提供及时答疑之外，还可设计学生知识和能力的自测环节，鼓励学生利用互联网的优质资源培养自学能力。</w:t>
            </w:r>
          </w:p>
        </w:tc>
        <w:tc>
          <w:tcPr>
            <w:tcW w:w="2694" w:type="dxa"/>
            <w:tcBorders>
              <w:top w:val="single" w:color="auto" w:sz="12" w:space="0"/>
              <w:left w:val="single" w:color="auto" w:sz="6" w:space="0"/>
              <w:bottom w:val="single" w:color="auto" w:sz="6" w:space="0"/>
              <w:right w:val="single" w:color="auto" w:sz="6" w:space="0"/>
            </w:tcBorders>
            <w:shd w:val="clear" w:color="auto" w:fill="auto"/>
          </w:tcPr>
          <w:p>
            <w:pPr>
              <w:rPr>
                <w:kern w:val="0"/>
                <w:sz w:val="18"/>
                <w:szCs w:val="18"/>
              </w:rPr>
            </w:pPr>
            <w:r>
              <w:rPr>
                <w:rFonts w:hint="eastAsia"/>
                <w:kern w:val="0"/>
                <w:sz w:val="18"/>
                <w:szCs w:val="18"/>
              </w:rPr>
              <w:t>教学院长请听课的教师在同学中了解答疑环节的落实情况，对答疑环节不能落实到位的，与主讲教师交流，并提出改进措施。</w:t>
            </w:r>
          </w:p>
          <w:p>
            <w:pPr>
              <w:rPr>
                <w:kern w:val="0"/>
                <w:sz w:val="18"/>
                <w:szCs w:val="18"/>
              </w:rPr>
            </w:pPr>
          </w:p>
        </w:tc>
        <w:tc>
          <w:tcPr>
            <w:tcW w:w="2976" w:type="dxa"/>
            <w:tcBorders>
              <w:top w:val="single" w:color="auto" w:sz="12" w:space="0"/>
              <w:left w:val="single" w:color="auto" w:sz="6" w:space="0"/>
              <w:bottom w:val="single" w:color="auto" w:sz="6" w:space="0"/>
              <w:right w:val="single" w:color="auto" w:sz="6" w:space="0"/>
            </w:tcBorders>
            <w:shd w:val="clear" w:color="auto" w:fill="auto"/>
          </w:tcPr>
          <w:p>
            <w:pPr>
              <w:rPr>
                <w:kern w:val="0"/>
                <w:sz w:val="20"/>
              </w:rPr>
            </w:pPr>
            <w:r>
              <w:rPr>
                <w:rFonts w:hint="eastAsia"/>
                <w:kern w:val="0"/>
                <w:sz w:val="18"/>
                <w:szCs w:val="18"/>
              </w:rPr>
              <w:t>请院系公布必须安排答疑的课程清单，并明确标出答疑时间、地点，对学生反映答疑环节不落实的，要予以公布以提醒教师落实答疑环节。</w:t>
            </w:r>
          </w:p>
        </w:tc>
        <w:tc>
          <w:tcPr>
            <w:tcW w:w="3023" w:type="dxa"/>
            <w:tcBorders>
              <w:top w:val="single" w:color="auto" w:sz="12" w:space="0"/>
              <w:left w:val="single" w:color="auto" w:sz="6" w:space="0"/>
              <w:bottom w:val="single" w:color="auto" w:sz="6" w:space="0"/>
              <w:right w:val="single" w:color="auto" w:sz="12" w:space="0"/>
            </w:tcBorders>
            <w:shd w:val="clear" w:color="auto" w:fill="auto"/>
          </w:tcPr>
          <w:p>
            <w:pPr>
              <w:rPr>
                <w:kern w:val="0"/>
                <w:sz w:val="18"/>
                <w:szCs w:val="18"/>
              </w:rPr>
            </w:pPr>
            <w:r>
              <w:rPr>
                <w:rFonts w:hint="eastAsia"/>
                <w:kern w:val="0"/>
                <w:sz w:val="18"/>
                <w:szCs w:val="18"/>
              </w:rPr>
              <w:t>1、请校、院（系）督导听课时，顺便了解课程安排答疑环节的情况。</w:t>
            </w:r>
          </w:p>
          <w:p>
            <w:pPr>
              <w:rPr>
                <w:kern w:val="0"/>
                <w:sz w:val="18"/>
                <w:szCs w:val="18"/>
              </w:rPr>
            </w:pPr>
          </w:p>
          <w:p>
            <w:pPr>
              <w:rPr>
                <w:kern w:val="0"/>
                <w:sz w:val="20"/>
              </w:rPr>
            </w:pPr>
            <w:r>
              <w:rPr>
                <w:rFonts w:hint="eastAsia"/>
                <w:kern w:val="0"/>
                <w:sz w:val="18"/>
                <w:szCs w:val="18"/>
              </w:rPr>
              <w:t>2、学生对答疑环节有新的合理要求，希及时与主讲教师沟通，以便及时解决。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3" w:hRule="atLeast"/>
          <w:jc w:val="center"/>
        </w:trPr>
        <w:tc>
          <w:tcPr>
            <w:tcW w:w="694" w:type="dxa"/>
            <w:tcBorders>
              <w:top w:val="single" w:color="auto" w:sz="6" w:space="0"/>
              <w:left w:val="single" w:color="auto" w:sz="12" w:space="0"/>
              <w:bottom w:val="single" w:color="auto" w:sz="6" w:space="0"/>
              <w:right w:val="single" w:color="auto" w:sz="6" w:space="0"/>
            </w:tcBorders>
            <w:shd w:val="clear" w:color="auto" w:fill="auto"/>
            <w:vAlign w:val="center"/>
          </w:tcPr>
          <w:p>
            <w:pPr>
              <w:jc w:val="center"/>
              <w:rPr>
                <w:rFonts w:ascii="黑体" w:eastAsia="黑体"/>
                <w:b/>
                <w:kern w:val="0"/>
                <w:sz w:val="20"/>
              </w:rPr>
            </w:pPr>
            <w:r>
              <w:rPr>
                <w:rFonts w:hint="eastAsia" w:ascii="黑体" w:eastAsia="黑体"/>
                <w:b/>
                <w:kern w:val="0"/>
                <w:sz w:val="20"/>
              </w:rPr>
              <w:t>五</w:t>
            </w:r>
          </w:p>
        </w:tc>
        <w:tc>
          <w:tcPr>
            <w:tcW w:w="986" w:type="dxa"/>
            <w:tcBorders>
              <w:top w:val="single" w:color="auto" w:sz="6" w:space="0"/>
              <w:left w:val="single" w:color="auto" w:sz="6" w:space="0"/>
              <w:bottom w:val="single" w:color="auto" w:sz="6" w:space="0"/>
              <w:right w:val="single" w:color="auto" w:sz="6" w:space="0"/>
            </w:tcBorders>
            <w:shd w:val="clear" w:color="auto" w:fill="auto"/>
            <w:vAlign w:val="center"/>
          </w:tcPr>
          <w:p>
            <w:pPr>
              <w:jc w:val="center"/>
              <w:rPr>
                <w:b/>
                <w:kern w:val="0"/>
                <w:sz w:val="20"/>
              </w:rPr>
            </w:pPr>
            <w:r>
              <w:rPr>
                <w:rFonts w:hint="eastAsia"/>
                <w:b/>
                <w:kern w:val="0"/>
                <w:sz w:val="20"/>
              </w:rPr>
              <w:t>作业</w:t>
            </w:r>
          </w:p>
        </w:tc>
        <w:tc>
          <w:tcPr>
            <w:tcW w:w="2841" w:type="dxa"/>
            <w:tcBorders>
              <w:top w:val="single" w:color="auto" w:sz="6" w:space="0"/>
              <w:left w:val="single" w:color="auto" w:sz="6" w:space="0"/>
              <w:bottom w:val="single" w:color="auto" w:sz="6" w:space="0"/>
              <w:right w:val="single" w:color="auto" w:sz="6" w:space="0"/>
            </w:tcBorders>
            <w:shd w:val="clear" w:color="auto" w:fill="auto"/>
          </w:tcPr>
          <w:p>
            <w:pPr>
              <w:rPr>
                <w:kern w:val="0"/>
                <w:sz w:val="18"/>
                <w:szCs w:val="18"/>
              </w:rPr>
            </w:pPr>
            <w:r>
              <w:rPr>
                <w:rFonts w:hint="eastAsia"/>
                <w:kern w:val="0"/>
                <w:sz w:val="18"/>
                <w:szCs w:val="18"/>
              </w:rPr>
              <w:t xml:space="preserve">1、教师要根据课程的特点和要求，布置作业并认真批改。 </w:t>
            </w:r>
          </w:p>
          <w:p>
            <w:pPr>
              <w:rPr>
                <w:kern w:val="0"/>
                <w:sz w:val="20"/>
              </w:rPr>
            </w:pPr>
            <w:r>
              <w:rPr>
                <w:rFonts w:hint="eastAsia"/>
                <w:kern w:val="0"/>
                <w:sz w:val="18"/>
                <w:szCs w:val="18"/>
              </w:rPr>
              <w:t>2、分阶段对作业中具有共性的关键问题，在课堂上安排研讨和交流，以便学生对知识的真正掌握和应用。</w:t>
            </w:r>
          </w:p>
        </w:tc>
        <w:tc>
          <w:tcPr>
            <w:tcW w:w="2694" w:type="dxa"/>
            <w:tcBorders>
              <w:top w:val="single" w:color="auto" w:sz="6" w:space="0"/>
              <w:left w:val="single" w:color="auto" w:sz="6" w:space="0"/>
              <w:bottom w:val="single" w:color="auto" w:sz="6" w:space="0"/>
              <w:right w:val="single" w:color="auto" w:sz="6" w:space="0"/>
            </w:tcBorders>
            <w:shd w:val="clear" w:color="auto" w:fill="auto"/>
          </w:tcPr>
          <w:p>
            <w:pPr>
              <w:rPr>
                <w:kern w:val="0"/>
                <w:sz w:val="18"/>
                <w:szCs w:val="18"/>
              </w:rPr>
            </w:pPr>
            <w:r>
              <w:rPr>
                <w:rFonts w:hint="eastAsia"/>
                <w:kern w:val="0"/>
                <w:sz w:val="18"/>
                <w:szCs w:val="18"/>
              </w:rPr>
              <w:t>在期中教学检查时，可通过学生座谈会了解课程作业的布置和批改情况，如发现问题，教学院长及时与课程负责人或教师本人交流并解决问题。</w:t>
            </w:r>
          </w:p>
          <w:p>
            <w:pPr>
              <w:rPr>
                <w:kern w:val="0"/>
                <w:sz w:val="20"/>
              </w:rPr>
            </w:pPr>
          </w:p>
        </w:tc>
        <w:tc>
          <w:tcPr>
            <w:tcW w:w="2976" w:type="dxa"/>
            <w:tcBorders>
              <w:top w:val="single" w:color="auto" w:sz="6" w:space="0"/>
              <w:left w:val="single" w:color="auto" w:sz="6" w:space="0"/>
              <w:bottom w:val="single" w:color="auto" w:sz="6" w:space="0"/>
              <w:right w:val="single" w:color="auto" w:sz="6" w:space="0"/>
            </w:tcBorders>
            <w:shd w:val="clear" w:color="auto" w:fill="auto"/>
          </w:tcPr>
          <w:p>
            <w:pPr>
              <w:rPr>
                <w:kern w:val="0"/>
                <w:sz w:val="18"/>
                <w:szCs w:val="18"/>
              </w:rPr>
            </w:pPr>
            <w:r>
              <w:rPr>
                <w:rFonts w:hint="eastAsia"/>
                <w:kern w:val="0"/>
                <w:sz w:val="18"/>
                <w:szCs w:val="18"/>
              </w:rPr>
              <w:t>在听课或期中教学检查中，学生反映做得特别好的课程，要提出表扬，给予鼓励。</w:t>
            </w:r>
          </w:p>
        </w:tc>
        <w:tc>
          <w:tcPr>
            <w:tcW w:w="3023" w:type="dxa"/>
            <w:tcBorders>
              <w:top w:val="single" w:color="auto" w:sz="6" w:space="0"/>
              <w:left w:val="single" w:color="auto" w:sz="6" w:space="0"/>
              <w:bottom w:val="single" w:color="auto" w:sz="6" w:space="0"/>
              <w:right w:val="single" w:color="auto" w:sz="12" w:space="0"/>
            </w:tcBorders>
            <w:shd w:val="clear" w:color="auto" w:fill="auto"/>
          </w:tcPr>
          <w:p>
            <w:pPr>
              <w:rPr>
                <w:kern w:val="0"/>
                <w:sz w:val="18"/>
                <w:szCs w:val="18"/>
              </w:rPr>
            </w:pPr>
            <w:r>
              <w:rPr>
                <w:rFonts w:hint="eastAsia"/>
                <w:kern w:val="0"/>
                <w:sz w:val="18"/>
                <w:szCs w:val="18"/>
              </w:rPr>
              <w:t>1、请校、院（系）督导听课时，顺便了解课程作业的布置和批改情况。</w:t>
            </w:r>
          </w:p>
          <w:p>
            <w:pPr>
              <w:rPr>
                <w:kern w:val="0"/>
                <w:sz w:val="18"/>
                <w:szCs w:val="18"/>
              </w:rPr>
            </w:pPr>
          </w:p>
          <w:p>
            <w:pPr>
              <w:rPr>
                <w:kern w:val="0"/>
                <w:sz w:val="18"/>
                <w:szCs w:val="18"/>
              </w:rPr>
            </w:pPr>
            <w:r>
              <w:rPr>
                <w:rFonts w:hint="eastAsia"/>
                <w:kern w:val="0"/>
                <w:sz w:val="18"/>
                <w:szCs w:val="18"/>
              </w:rPr>
              <w:t>2、学生对作业的布置和批改情况不满意，请及时反应到院系或教务处，以便引起教师的重视。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5" w:hRule="atLeast"/>
          <w:jc w:val="center"/>
        </w:trPr>
        <w:tc>
          <w:tcPr>
            <w:tcW w:w="694" w:type="dxa"/>
            <w:tcBorders>
              <w:top w:val="single" w:color="auto" w:sz="6" w:space="0"/>
              <w:left w:val="single" w:color="auto" w:sz="12" w:space="0"/>
              <w:bottom w:val="single" w:color="auto" w:sz="12" w:space="0"/>
              <w:right w:val="single" w:color="auto" w:sz="6" w:space="0"/>
            </w:tcBorders>
            <w:shd w:val="clear" w:color="auto" w:fill="auto"/>
            <w:vAlign w:val="center"/>
          </w:tcPr>
          <w:p>
            <w:pPr>
              <w:jc w:val="center"/>
              <w:rPr>
                <w:rFonts w:ascii="黑体" w:eastAsia="黑体"/>
                <w:kern w:val="0"/>
                <w:sz w:val="20"/>
              </w:rPr>
            </w:pPr>
            <w:r>
              <w:rPr>
                <w:rFonts w:hint="eastAsia" w:ascii="黑体" w:eastAsia="黑体"/>
                <w:kern w:val="0"/>
                <w:sz w:val="20"/>
              </w:rPr>
              <w:t>六</w:t>
            </w:r>
          </w:p>
        </w:tc>
        <w:tc>
          <w:tcPr>
            <w:tcW w:w="986" w:type="dxa"/>
            <w:tcBorders>
              <w:top w:val="single" w:color="auto" w:sz="6" w:space="0"/>
              <w:left w:val="single" w:color="auto" w:sz="6" w:space="0"/>
              <w:bottom w:val="single" w:color="auto" w:sz="12" w:space="0"/>
              <w:right w:val="single" w:color="auto" w:sz="6" w:space="0"/>
            </w:tcBorders>
            <w:shd w:val="clear" w:color="auto" w:fill="auto"/>
            <w:vAlign w:val="center"/>
          </w:tcPr>
          <w:p>
            <w:pPr>
              <w:jc w:val="center"/>
              <w:rPr>
                <w:b/>
                <w:kern w:val="0"/>
                <w:sz w:val="20"/>
              </w:rPr>
            </w:pPr>
            <w:r>
              <w:rPr>
                <w:rFonts w:hint="eastAsia"/>
                <w:b/>
                <w:kern w:val="0"/>
                <w:sz w:val="20"/>
              </w:rPr>
              <w:t>考核</w:t>
            </w:r>
          </w:p>
        </w:tc>
        <w:tc>
          <w:tcPr>
            <w:tcW w:w="2841" w:type="dxa"/>
            <w:tcBorders>
              <w:top w:val="single" w:color="auto" w:sz="6" w:space="0"/>
              <w:left w:val="single" w:color="auto" w:sz="6" w:space="0"/>
              <w:bottom w:val="single" w:color="auto" w:sz="12" w:space="0"/>
              <w:right w:val="single" w:color="auto" w:sz="6" w:space="0"/>
            </w:tcBorders>
            <w:shd w:val="clear" w:color="auto" w:fill="auto"/>
          </w:tcPr>
          <w:p>
            <w:pPr>
              <w:rPr>
                <w:kern w:val="0"/>
                <w:sz w:val="18"/>
                <w:szCs w:val="18"/>
              </w:rPr>
            </w:pPr>
            <w:r>
              <w:rPr>
                <w:rFonts w:hint="eastAsia"/>
                <w:kern w:val="0"/>
                <w:sz w:val="18"/>
                <w:szCs w:val="18"/>
              </w:rPr>
              <w:t>1、以课程教学大纲的要求为依据，告之学生课程考核成绩组成（如由平时成绩、期中考试、期末考试成绩等按一定的权重加权组成）。</w:t>
            </w:r>
          </w:p>
          <w:p>
            <w:pPr>
              <w:rPr>
                <w:kern w:val="0"/>
                <w:sz w:val="18"/>
                <w:szCs w:val="18"/>
              </w:rPr>
            </w:pPr>
            <w:r>
              <w:rPr>
                <w:rFonts w:hint="eastAsia"/>
                <w:kern w:val="0"/>
                <w:sz w:val="18"/>
                <w:szCs w:val="18"/>
              </w:rPr>
              <w:t>2、考题要求难度适中、区分度正常、信度好、效度高。</w:t>
            </w:r>
          </w:p>
          <w:p>
            <w:pPr>
              <w:rPr>
                <w:kern w:val="0"/>
                <w:sz w:val="18"/>
                <w:szCs w:val="18"/>
              </w:rPr>
            </w:pPr>
            <w:r>
              <w:rPr>
                <w:rFonts w:hint="eastAsia"/>
                <w:kern w:val="0"/>
                <w:sz w:val="18"/>
                <w:szCs w:val="18"/>
              </w:rPr>
              <w:t>3、要重点考核学生应用所学解决问题的能力。</w:t>
            </w:r>
          </w:p>
          <w:p>
            <w:pPr>
              <w:rPr>
                <w:kern w:val="0"/>
                <w:sz w:val="18"/>
                <w:szCs w:val="18"/>
              </w:rPr>
            </w:pPr>
            <w:r>
              <w:rPr>
                <w:rFonts w:hint="eastAsia"/>
                <w:kern w:val="0"/>
                <w:sz w:val="18"/>
                <w:szCs w:val="18"/>
              </w:rPr>
              <w:t>4、卷面图文清晰。</w:t>
            </w:r>
          </w:p>
        </w:tc>
        <w:tc>
          <w:tcPr>
            <w:tcW w:w="2694" w:type="dxa"/>
            <w:tcBorders>
              <w:top w:val="single" w:color="auto" w:sz="6" w:space="0"/>
              <w:left w:val="single" w:color="auto" w:sz="6" w:space="0"/>
              <w:bottom w:val="single" w:color="auto" w:sz="12" w:space="0"/>
              <w:right w:val="single" w:color="auto" w:sz="6" w:space="0"/>
            </w:tcBorders>
            <w:shd w:val="clear" w:color="auto" w:fill="auto"/>
          </w:tcPr>
          <w:p>
            <w:pPr>
              <w:rPr>
                <w:kern w:val="0"/>
                <w:sz w:val="18"/>
                <w:szCs w:val="18"/>
              </w:rPr>
            </w:pPr>
            <w:r>
              <w:rPr>
                <w:rFonts w:hint="eastAsia"/>
                <w:kern w:val="0"/>
                <w:sz w:val="18"/>
                <w:szCs w:val="18"/>
              </w:rPr>
              <w:t>1、严格按照学校要求，课程负责人作为直接责任人对课程的考核环节负责。</w:t>
            </w:r>
          </w:p>
          <w:p>
            <w:pPr>
              <w:rPr>
                <w:kern w:val="0"/>
                <w:sz w:val="18"/>
                <w:szCs w:val="18"/>
              </w:rPr>
            </w:pPr>
            <w:r>
              <w:rPr>
                <w:rFonts w:hint="eastAsia"/>
                <w:kern w:val="0"/>
                <w:sz w:val="18"/>
                <w:szCs w:val="18"/>
              </w:rPr>
              <w:t>2、院系如发现个别教师出题过难或过易，需提请学院教学委员会请同行教授审题，并提出解决问题的建议，由学院主要领导批准执行。</w:t>
            </w:r>
          </w:p>
          <w:p>
            <w:pPr>
              <w:rPr>
                <w:kern w:val="0"/>
                <w:sz w:val="20"/>
              </w:rPr>
            </w:pPr>
          </w:p>
        </w:tc>
        <w:tc>
          <w:tcPr>
            <w:tcW w:w="2976" w:type="dxa"/>
            <w:tcBorders>
              <w:top w:val="single" w:color="auto" w:sz="6" w:space="0"/>
              <w:left w:val="single" w:color="auto" w:sz="6" w:space="0"/>
              <w:bottom w:val="single" w:color="auto" w:sz="12" w:space="0"/>
              <w:right w:val="single" w:color="auto" w:sz="6" w:space="0"/>
            </w:tcBorders>
            <w:shd w:val="clear" w:color="auto" w:fill="auto"/>
          </w:tcPr>
          <w:p>
            <w:pPr>
              <w:rPr>
                <w:kern w:val="0"/>
                <w:sz w:val="20"/>
              </w:rPr>
            </w:pPr>
            <w:r>
              <w:rPr>
                <w:rFonts w:hint="eastAsia"/>
                <w:kern w:val="0"/>
                <w:sz w:val="18"/>
                <w:szCs w:val="18"/>
              </w:rPr>
              <w:t>学校或院系定期召开教学工作交流会，对课程考核手段和方式进行改革且成效显著的，进行大会交流并推广，对积极探索考试改革的教师给予表扬和奖励。</w:t>
            </w:r>
          </w:p>
        </w:tc>
        <w:tc>
          <w:tcPr>
            <w:tcW w:w="3023" w:type="dxa"/>
            <w:tcBorders>
              <w:top w:val="single" w:color="auto" w:sz="6" w:space="0"/>
              <w:left w:val="single" w:color="auto" w:sz="6" w:space="0"/>
              <w:bottom w:val="single" w:color="auto" w:sz="12" w:space="0"/>
              <w:right w:val="single" w:color="auto" w:sz="12" w:space="0"/>
            </w:tcBorders>
            <w:shd w:val="clear" w:color="auto" w:fill="auto"/>
          </w:tcPr>
          <w:p>
            <w:pPr>
              <w:rPr>
                <w:kern w:val="0"/>
                <w:sz w:val="20"/>
              </w:rPr>
            </w:pPr>
            <w:r>
              <w:rPr>
                <w:rFonts w:hint="eastAsia"/>
                <w:kern w:val="0"/>
                <w:sz w:val="18"/>
                <w:szCs w:val="18"/>
              </w:rPr>
              <w:t>请校、院（系）督导了解课程考核情况，如有存在的问题，请及时转告相关院系或教务处，以便问题的解决。</w:t>
            </w:r>
          </w:p>
        </w:tc>
      </w:tr>
    </w:tbl>
    <w:p>
      <w:pPr>
        <w:spacing w:before="156" w:beforeLines="50"/>
        <w:jc w:val="right"/>
        <w:rPr>
          <w:rFonts w:ascii="仿宋" w:hAnsi="仿宋" w:eastAsia="仿宋" w:cs="宋体"/>
          <w:color w:val="333333"/>
          <w:kern w:val="0"/>
          <w:sz w:val="24"/>
          <w:szCs w:val="21"/>
        </w:rPr>
      </w:pPr>
      <w:r>
        <w:rPr>
          <w:rFonts w:ascii="仿宋" w:hAnsi="仿宋" w:eastAsia="仿宋" w:cs="宋体"/>
          <w:color w:val="333333"/>
          <w:kern w:val="0"/>
          <w:sz w:val="24"/>
          <w:szCs w:val="21"/>
        </w:rPr>
        <w:t>东南大学教务处</w:t>
      </w:r>
    </w:p>
    <w:p>
      <w:pPr>
        <w:jc w:val="right"/>
        <w:rPr>
          <w:rFonts w:ascii="仿宋" w:hAnsi="仿宋" w:eastAsia="仿宋" w:cs="宋体"/>
          <w:color w:val="333333"/>
          <w:kern w:val="0"/>
          <w:sz w:val="24"/>
          <w:szCs w:val="21"/>
        </w:rPr>
      </w:pPr>
      <w:r>
        <w:rPr>
          <w:rFonts w:hint="eastAsia" w:ascii="仿宋" w:hAnsi="仿宋" w:eastAsia="仿宋" w:cs="宋体"/>
          <w:color w:val="333333"/>
          <w:kern w:val="0"/>
          <w:sz w:val="24"/>
          <w:szCs w:val="21"/>
        </w:rPr>
        <w:t>2010年12月</w:t>
      </w:r>
      <w:r>
        <w:rPr>
          <w:rFonts w:ascii="仿宋" w:hAnsi="仿宋" w:eastAsia="仿宋" w:cs="宋体"/>
          <w:color w:val="333333"/>
          <w:kern w:val="0"/>
          <w:sz w:val="24"/>
          <w:szCs w:val="21"/>
        </w:rPr>
        <w:t>2</w:t>
      </w:r>
      <w:r>
        <w:rPr>
          <w:rFonts w:hint="eastAsia" w:ascii="仿宋" w:hAnsi="仿宋" w:eastAsia="仿宋" w:cs="宋体"/>
          <w:color w:val="333333"/>
          <w:kern w:val="0"/>
          <w:sz w:val="24"/>
          <w:szCs w:val="21"/>
        </w:rPr>
        <w:t>日</w:t>
      </w:r>
    </w:p>
    <w:p>
      <w:pPr>
        <w:jc w:val="right"/>
        <w:rPr>
          <w:rFonts w:ascii="仿宋" w:hAnsi="仿宋" w:eastAsia="仿宋" w:cs="宋体"/>
          <w:color w:val="333333"/>
          <w:kern w:val="0"/>
          <w:sz w:val="24"/>
          <w:szCs w:val="21"/>
        </w:rPr>
      </w:pPr>
    </w:p>
    <w:p>
      <w:pPr>
        <w:jc w:val="right"/>
        <w:rPr>
          <w:rFonts w:ascii="仿宋" w:hAnsi="仿宋" w:eastAsia="仿宋" w:cs="宋体"/>
          <w:color w:val="333333"/>
          <w:kern w:val="0"/>
          <w:sz w:val="18"/>
          <w:szCs w:val="21"/>
        </w:rPr>
      </w:pPr>
      <w:r>
        <w:rPr>
          <w:rFonts w:ascii="仿宋" w:hAnsi="仿宋" w:eastAsia="仿宋" w:cs="宋体"/>
          <w:color w:val="333333"/>
          <w:kern w:val="0"/>
          <w:sz w:val="18"/>
          <w:szCs w:val="21"/>
        </w:rPr>
        <w:t>（</w:t>
      </w:r>
      <w:r>
        <w:rPr>
          <w:rFonts w:hint="eastAsia" w:ascii="仿宋" w:hAnsi="仿宋" w:eastAsia="仿宋" w:cs="宋体"/>
          <w:color w:val="333333"/>
          <w:kern w:val="0"/>
          <w:sz w:val="18"/>
          <w:szCs w:val="21"/>
        </w:rPr>
        <w:t>2017.11.</w:t>
      </w:r>
      <w:r>
        <w:rPr>
          <w:rFonts w:ascii="仿宋" w:hAnsi="仿宋" w:eastAsia="仿宋" w:cs="宋体"/>
          <w:color w:val="333333"/>
          <w:kern w:val="0"/>
          <w:sz w:val="18"/>
          <w:szCs w:val="21"/>
        </w:rPr>
        <w:t>30</w:t>
      </w:r>
      <w:r>
        <w:rPr>
          <w:rFonts w:hint="eastAsia" w:ascii="仿宋" w:hAnsi="仿宋" w:eastAsia="仿宋" w:cs="宋体"/>
          <w:color w:val="333333"/>
          <w:kern w:val="0"/>
          <w:sz w:val="18"/>
          <w:szCs w:val="21"/>
        </w:rPr>
        <w:t>粘自</w:t>
      </w:r>
      <w:r>
        <w:rPr>
          <w:rFonts w:ascii="仿宋" w:hAnsi="仿宋" w:eastAsia="仿宋" w:cs="宋体"/>
          <w:color w:val="333333"/>
          <w:kern w:val="0"/>
          <w:sz w:val="18"/>
          <w:szCs w:val="21"/>
        </w:rPr>
        <w:t>教务处网站）</w:t>
      </w:r>
    </w:p>
    <w:sectPr>
      <w:pgSz w:w="16838" w:h="11906" w:orient="landscape"/>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4E5"/>
    <w:rsid w:val="000922A4"/>
    <w:rsid w:val="00106B61"/>
    <w:rsid w:val="001217CB"/>
    <w:rsid w:val="0019713F"/>
    <w:rsid w:val="00236F40"/>
    <w:rsid w:val="004D345F"/>
    <w:rsid w:val="006D44E5"/>
    <w:rsid w:val="006E1FCB"/>
    <w:rsid w:val="007F3EC6"/>
    <w:rsid w:val="00847899"/>
    <w:rsid w:val="008F7993"/>
    <w:rsid w:val="00985AEC"/>
    <w:rsid w:val="00A947F9"/>
    <w:rsid w:val="00AC1473"/>
    <w:rsid w:val="00AF0C53"/>
    <w:rsid w:val="00B85829"/>
    <w:rsid w:val="00BF352A"/>
    <w:rsid w:val="00C75EE1"/>
    <w:rsid w:val="00DE7155"/>
    <w:rsid w:val="00E604D6"/>
    <w:rsid w:val="00E60959"/>
    <w:rsid w:val="00FD2F4B"/>
    <w:rsid w:val="78564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3"/>
    <w:semiHidden/>
    <w:unhideWhenUsed/>
    <w:uiPriority w:val="99"/>
    <w:pPr>
      <w:snapToGrid w:val="0"/>
      <w:jc w:val="left"/>
    </w:pPr>
    <w:rPr>
      <w:sz w:val="18"/>
      <w:szCs w:val="18"/>
    </w:rPr>
  </w:style>
  <w:style w:type="character" w:styleId="7">
    <w:name w:val="footnote reference"/>
    <w:basedOn w:val="6"/>
    <w:semiHidden/>
    <w:unhideWhenUsed/>
    <w:qFormat/>
    <w:uiPriority w:val="99"/>
    <w:rPr>
      <w:vertAlign w:val="superscript"/>
    </w:rPr>
  </w:style>
  <w:style w:type="paragraph" w:customStyle="1" w:styleId="9">
    <w:name w:val="p0"/>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日期 Char"/>
    <w:basedOn w:val="6"/>
    <w:link w:val="2"/>
    <w:semiHidden/>
    <w:uiPriority w:val="99"/>
  </w:style>
  <w:style w:type="character" w:customStyle="1" w:styleId="11">
    <w:name w:val="页眉 Char"/>
    <w:basedOn w:val="6"/>
    <w:link w:val="4"/>
    <w:qFormat/>
    <w:uiPriority w:val="99"/>
    <w:rPr>
      <w:sz w:val="18"/>
      <w:szCs w:val="18"/>
    </w:rPr>
  </w:style>
  <w:style w:type="character" w:customStyle="1" w:styleId="12">
    <w:name w:val="页脚 Char"/>
    <w:basedOn w:val="6"/>
    <w:link w:val="3"/>
    <w:qFormat/>
    <w:uiPriority w:val="99"/>
    <w:rPr>
      <w:sz w:val="18"/>
      <w:szCs w:val="18"/>
    </w:rPr>
  </w:style>
  <w:style w:type="character" w:customStyle="1" w:styleId="13">
    <w:name w:val="脚注文本 Char"/>
    <w:basedOn w:val="6"/>
    <w:link w:val="5"/>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AAEC33-883C-404A-83C2-A5BE03230F66}">
  <ds:schemaRefs/>
</ds:datastoreItem>
</file>

<file path=docProps/app.xml><?xml version="1.0" encoding="utf-8"?>
<Properties xmlns="http://schemas.openxmlformats.org/officeDocument/2006/extended-properties" xmlns:vt="http://schemas.openxmlformats.org/officeDocument/2006/docPropsVTypes">
  <Template>Normal.dotm</Template>
  <Pages>3</Pages>
  <Words>404</Words>
  <Characters>2307</Characters>
  <Lines>19</Lines>
  <Paragraphs>5</Paragraphs>
  <TotalTime>8</TotalTime>
  <ScaleCrop>false</ScaleCrop>
  <LinksUpToDate>false</LinksUpToDate>
  <CharactersWithSpaces>2706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2017-11-30T09:29:00Z</dcterms:created>
  <dc:creator>许映红</dc:creator>
  <cp:lastModifiedBy>王薇薇</cp:lastModifiedBy>
  <dcterms:modified xsi:type="dcterms:W3CDTF">2019-02-25T01:06:50Z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